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05193" w14:textId="77777777" w:rsidR="0052571B" w:rsidRDefault="0052571B" w:rsidP="0052571B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eastAsia="黑体"/>
          <w:snapToGrid w:val="0"/>
          <w:color w:val="000000"/>
          <w:kern w:val="0"/>
          <w:position w:val="1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position w:val="1"/>
          <w:sz w:val="32"/>
          <w:szCs w:val="32"/>
        </w:rPr>
        <w:t>附件</w:t>
      </w:r>
      <w:r>
        <w:rPr>
          <w:rFonts w:eastAsia="黑体" w:hint="eastAsia"/>
          <w:snapToGrid w:val="0"/>
          <w:color w:val="000000"/>
          <w:kern w:val="0"/>
          <w:position w:val="1"/>
          <w:sz w:val="32"/>
          <w:szCs w:val="32"/>
        </w:rPr>
        <w:t>2</w:t>
      </w:r>
      <w:bookmarkStart w:id="0" w:name="_GoBack"/>
      <w:bookmarkEnd w:id="0"/>
    </w:p>
    <w:p w14:paraId="1376761B" w14:textId="77777777" w:rsidR="0052571B" w:rsidRDefault="0052571B" w:rsidP="0052571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方正小标宋简体" w:eastAsia="黑体" w:hint="eastAsia"/>
          <w:snapToGrid w:val="0"/>
          <w:color w:val="000000"/>
          <w:kern w:val="0"/>
          <w:position w:val="1"/>
          <w:sz w:val="44"/>
          <w:szCs w:val="44"/>
        </w:rPr>
      </w:pPr>
    </w:p>
    <w:p w14:paraId="429DAD78" w14:textId="77777777" w:rsidR="0052571B" w:rsidRDefault="0052571B" w:rsidP="0052571B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2023</w:t>
      </w:r>
      <w:r>
        <w:rPr>
          <w:rFonts w:eastAsia="方正小标宋简体"/>
          <w:color w:val="000000"/>
          <w:sz w:val="44"/>
          <w:szCs w:val="44"/>
        </w:rPr>
        <w:t>年常州市软科学研究项目指南</w:t>
      </w:r>
    </w:p>
    <w:p w14:paraId="3614AF42" w14:textId="77777777" w:rsidR="0052571B" w:rsidRDefault="0052571B" w:rsidP="0052571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方正小标宋简体" w:eastAsia="方正小标宋简体" w:hint="eastAsia"/>
          <w:color w:val="000000"/>
          <w:sz w:val="44"/>
          <w:szCs w:val="44"/>
        </w:rPr>
      </w:pPr>
    </w:p>
    <w:p w14:paraId="52944893" w14:textId="77777777" w:rsidR="0052571B" w:rsidRDefault="0052571B" w:rsidP="0052571B">
      <w:pPr>
        <w:overflowPunct w:val="0"/>
        <w:autoSpaceDE w:val="0"/>
        <w:autoSpaceDN w:val="0"/>
        <w:adjustRightInd w:val="0"/>
        <w:snapToGrid w:val="0"/>
        <w:spacing w:line="610" w:lineRule="exact"/>
        <w:ind w:firstLine="641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一、重点项目（揭榜）</w:t>
      </w:r>
    </w:p>
    <w:p w14:paraId="1DB101D3" w14:textId="77777777" w:rsidR="0052571B" w:rsidRDefault="0052571B" w:rsidP="0052571B">
      <w:pPr>
        <w:overflowPunct w:val="0"/>
        <w:autoSpaceDE w:val="0"/>
        <w:autoSpaceDN w:val="0"/>
        <w:adjustRightInd w:val="0"/>
        <w:snapToGrid w:val="0"/>
        <w:spacing w:line="610" w:lineRule="exact"/>
        <w:ind w:firstLine="641"/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 xml:space="preserve">9001 </w:t>
      </w:r>
      <w:r>
        <w:rPr>
          <w:rFonts w:eastAsia="仿宋_GB2312" w:hint="eastAsia"/>
          <w:color w:val="000000"/>
          <w:kern w:val="0"/>
          <w:sz w:val="32"/>
          <w:szCs w:val="32"/>
        </w:rPr>
        <w:t>常州市科技创新立法研究</w:t>
      </w:r>
    </w:p>
    <w:p w14:paraId="2A9FCE00" w14:textId="77777777" w:rsidR="0052571B" w:rsidRDefault="0052571B" w:rsidP="0052571B">
      <w:pPr>
        <w:overflowPunct w:val="0"/>
        <w:autoSpaceDE w:val="0"/>
        <w:autoSpaceDN w:val="0"/>
        <w:adjustRightInd w:val="0"/>
        <w:snapToGrid w:val="0"/>
        <w:spacing w:line="61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kern w:val="0"/>
          <w:sz w:val="32"/>
          <w:szCs w:val="32"/>
        </w:rPr>
        <w:t>主要研究内容：</w:t>
      </w:r>
      <w:r>
        <w:rPr>
          <w:rFonts w:eastAsia="仿宋_GB2312"/>
          <w:color w:val="000000"/>
          <w:kern w:val="0"/>
          <w:sz w:val="32"/>
          <w:szCs w:val="32"/>
        </w:rPr>
        <w:t>贯彻落实新修订的科技进步法，立足常州科技创新高质量发展需要，</w:t>
      </w:r>
      <w:r>
        <w:rPr>
          <w:rFonts w:eastAsia="仿宋_GB2312" w:hint="eastAsia"/>
          <w:color w:val="000000"/>
          <w:kern w:val="0"/>
          <w:sz w:val="32"/>
          <w:szCs w:val="32"/>
        </w:rPr>
        <w:t>通过开展立法调研，全面</w:t>
      </w:r>
      <w:r>
        <w:rPr>
          <w:rFonts w:eastAsia="仿宋_GB2312"/>
          <w:color w:val="000000"/>
          <w:kern w:val="0"/>
          <w:sz w:val="32"/>
          <w:szCs w:val="32"/>
        </w:rPr>
        <w:t>梳理现有</w:t>
      </w:r>
      <w:r>
        <w:rPr>
          <w:rFonts w:eastAsia="仿宋_GB2312" w:hint="eastAsia"/>
          <w:color w:val="000000"/>
          <w:kern w:val="0"/>
          <w:sz w:val="32"/>
          <w:szCs w:val="32"/>
        </w:rPr>
        <w:t>相关</w:t>
      </w:r>
      <w:r>
        <w:rPr>
          <w:rFonts w:eastAsia="仿宋_GB2312"/>
          <w:color w:val="000000"/>
          <w:kern w:val="0"/>
          <w:sz w:val="32"/>
          <w:szCs w:val="32"/>
        </w:rPr>
        <w:t>法律法规和政策规定，</w:t>
      </w:r>
      <w:r>
        <w:rPr>
          <w:rFonts w:eastAsia="仿宋_GB2312" w:hint="eastAsia"/>
          <w:color w:val="000000"/>
          <w:kern w:val="0"/>
          <w:sz w:val="32"/>
          <w:szCs w:val="32"/>
        </w:rPr>
        <w:t>深入总结我市科技创新特色举措，研究论证我市科技创新立法的必要性、可行性，提出拟解决的主要问题及对策建议</w:t>
      </w:r>
      <w:r>
        <w:rPr>
          <w:rFonts w:eastAsia="仿宋_GB2312"/>
          <w:color w:val="000000"/>
          <w:kern w:val="0"/>
          <w:sz w:val="32"/>
          <w:szCs w:val="32"/>
        </w:rPr>
        <w:t>，</w:t>
      </w:r>
      <w:r>
        <w:rPr>
          <w:rFonts w:eastAsia="仿宋_GB2312" w:hint="eastAsia"/>
          <w:color w:val="000000"/>
          <w:kern w:val="0"/>
          <w:sz w:val="32"/>
          <w:szCs w:val="32"/>
        </w:rPr>
        <w:t>完成立法调研报告和立法草案。</w:t>
      </w:r>
    </w:p>
    <w:p w14:paraId="4FAEA161" w14:textId="77777777" w:rsidR="0052571B" w:rsidRDefault="0052571B" w:rsidP="0052571B">
      <w:pPr>
        <w:overflowPunct w:val="0"/>
        <w:autoSpaceDE w:val="0"/>
        <w:autoSpaceDN w:val="0"/>
        <w:adjustRightInd w:val="0"/>
        <w:snapToGrid w:val="0"/>
        <w:spacing w:line="61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900</w:t>
      </w:r>
      <w:r>
        <w:rPr>
          <w:rFonts w:eastAsia="仿宋_GB2312" w:hint="eastAsia"/>
          <w:color w:val="000000"/>
          <w:kern w:val="0"/>
          <w:sz w:val="32"/>
          <w:szCs w:val="32"/>
        </w:rPr>
        <w:t>2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常州</w:t>
      </w:r>
      <w:r>
        <w:rPr>
          <w:rFonts w:eastAsia="仿宋_GB2312" w:hint="eastAsia"/>
          <w:color w:val="000000"/>
          <w:kern w:val="0"/>
          <w:sz w:val="32"/>
          <w:szCs w:val="32"/>
        </w:rPr>
        <w:t>市</w:t>
      </w:r>
      <w:r>
        <w:rPr>
          <w:rFonts w:eastAsia="仿宋_GB2312"/>
          <w:color w:val="000000"/>
          <w:kern w:val="0"/>
          <w:sz w:val="32"/>
          <w:szCs w:val="32"/>
        </w:rPr>
        <w:t>完善提升科技创新体系效能研究</w:t>
      </w:r>
    </w:p>
    <w:p w14:paraId="7971D5BC" w14:textId="77777777" w:rsidR="0052571B" w:rsidRDefault="0052571B" w:rsidP="0052571B">
      <w:pPr>
        <w:overflowPunct w:val="0"/>
        <w:autoSpaceDE w:val="0"/>
        <w:autoSpaceDN w:val="0"/>
        <w:adjustRightInd w:val="0"/>
        <w:snapToGrid w:val="0"/>
        <w:spacing w:line="61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kern w:val="0"/>
          <w:sz w:val="32"/>
          <w:szCs w:val="32"/>
        </w:rPr>
        <w:t>主要研究内容：</w:t>
      </w:r>
      <w:r>
        <w:rPr>
          <w:rFonts w:eastAsia="仿宋_GB2312" w:hint="eastAsia"/>
          <w:color w:val="000000"/>
          <w:kern w:val="0"/>
          <w:sz w:val="32"/>
          <w:szCs w:val="32"/>
        </w:rPr>
        <w:t>立足常州科技创新实际，着眼长三角，对标先进地区，分析我市经济、科技指标及创新资源整体效能情况，研判我市当前科技创新整体水平位势、特色亮点与问题不足，针对性提出完善提升我市科技创新体系整体效能的对策建议。</w:t>
      </w:r>
    </w:p>
    <w:p w14:paraId="1F2182C9" w14:textId="77777777" w:rsidR="0052571B" w:rsidRDefault="0052571B" w:rsidP="0052571B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610" w:lineRule="exact"/>
        <w:ind w:firstLine="641"/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900</w:t>
      </w:r>
      <w:r>
        <w:rPr>
          <w:rFonts w:eastAsia="仿宋_GB2312" w:hint="eastAsia"/>
          <w:color w:val="000000"/>
          <w:kern w:val="0"/>
          <w:sz w:val="32"/>
          <w:szCs w:val="32"/>
        </w:rPr>
        <w:t>3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常州</w:t>
      </w:r>
      <w:r>
        <w:rPr>
          <w:rFonts w:eastAsia="仿宋_GB2312" w:hint="eastAsia"/>
          <w:color w:val="000000"/>
          <w:kern w:val="0"/>
          <w:sz w:val="32"/>
          <w:szCs w:val="32"/>
        </w:rPr>
        <w:t>市</w:t>
      </w:r>
      <w:r>
        <w:rPr>
          <w:rFonts w:eastAsia="仿宋_GB2312"/>
          <w:color w:val="000000"/>
          <w:kern w:val="0"/>
          <w:sz w:val="32"/>
          <w:szCs w:val="32"/>
        </w:rPr>
        <w:t>国际化创新发展路径研究</w:t>
      </w:r>
    </w:p>
    <w:p w14:paraId="63A32BAA" w14:textId="77777777" w:rsidR="0052571B" w:rsidRDefault="0052571B" w:rsidP="0052571B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610" w:lineRule="exact"/>
        <w:ind w:firstLine="641"/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kern w:val="0"/>
          <w:sz w:val="32"/>
          <w:szCs w:val="32"/>
        </w:rPr>
        <w:t>主要研究内容：</w:t>
      </w:r>
      <w:r>
        <w:rPr>
          <w:rFonts w:eastAsia="仿宋_GB2312" w:hint="eastAsia"/>
          <w:color w:val="000000"/>
          <w:kern w:val="0"/>
          <w:sz w:val="32"/>
          <w:szCs w:val="32"/>
        </w:rPr>
        <w:t>结合《常州市国际化创新指数</w:t>
      </w:r>
      <w:r>
        <w:rPr>
          <w:rFonts w:eastAsia="仿宋_GB2312" w:hint="eastAsia"/>
          <w:color w:val="000000"/>
          <w:kern w:val="0"/>
          <w:sz w:val="32"/>
          <w:szCs w:val="32"/>
        </w:rPr>
        <w:t>2022</w:t>
      </w:r>
      <w:r>
        <w:rPr>
          <w:rFonts w:eastAsia="仿宋_GB2312" w:hint="eastAsia"/>
          <w:color w:val="000000"/>
          <w:kern w:val="0"/>
          <w:sz w:val="32"/>
          <w:szCs w:val="32"/>
        </w:rPr>
        <w:t>》，分析我市国际科技创新合作现状，对标国内外先进地区，聚焦新兴产业、要素配置、创业活动、研发创新等方面，为我市国际创新布局与决策提供参考。</w:t>
      </w:r>
    </w:p>
    <w:p w14:paraId="05CF0003" w14:textId="77777777" w:rsidR="0052571B" w:rsidRDefault="0052571B" w:rsidP="0052571B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黑体" w:eastAsia="黑体" w:hint="eastAsia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lastRenderedPageBreak/>
        <w:t>二、重点项目（定向）</w:t>
      </w:r>
    </w:p>
    <w:p w14:paraId="7140321A" w14:textId="77777777" w:rsidR="0052571B" w:rsidRDefault="0052571B" w:rsidP="0052571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9004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kern w:val="0"/>
          <w:sz w:val="32"/>
          <w:szCs w:val="32"/>
        </w:rPr>
        <w:t>常州基础研究多元化投入机制与引导政策研究</w:t>
      </w:r>
    </w:p>
    <w:p w14:paraId="46CF066E" w14:textId="77777777" w:rsidR="0052571B" w:rsidRDefault="0052571B" w:rsidP="0052571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kern w:val="0"/>
          <w:sz w:val="32"/>
          <w:szCs w:val="32"/>
        </w:rPr>
        <w:t>主要研究内容：</w:t>
      </w:r>
      <w:r>
        <w:rPr>
          <w:rFonts w:eastAsia="仿宋_GB2312" w:hint="eastAsia"/>
          <w:color w:val="000000"/>
          <w:kern w:val="0"/>
          <w:sz w:val="32"/>
          <w:szCs w:val="32"/>
        </w:rPr>
        <w:t>为加快实现高水平科技自立自强，研究分析我市基础研究的主体、规模、结构和特点等，针对短板不足针对性提出建立全市多元化投入发展机制，引导本地高校院所、医疗机构、科研院所和企事业单位加大基础研究投入的对策建议。</w:t>
      </w:r>
    </w:p>
    <w:p w14:paraId="0F3694E3" w14:textId="77777777" w:rsidR="0052571B" w:rsidRDefault="0052571B" w:rsidP="0052571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9005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kern w:val="0"/>
          <w:sz w:val="32"/>
          <w:szCs w:val="32"/>
        </w:rPr>
        <w:t>常州科教城发挥“创新之核”引领支撑作用研究</w:t>
      </w:r>
    </w:p>
    <w:p w14:paraId="3BFA83A9" w14:textId="77777777" w:rsidR="0052571B" w:rsidRDefault="0052571B" w:rsidP="0052571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kern w:val="0"/>
          <w:sz w:val="32"/>
          <w:szCs w:val="32"/>
        </w:rPr>
        <w:t>主要研究内容：</w:t>
      </w:r>
      <w:r>
        <w:rPr>
          <w:rFonts w:eastAsia="仿宋_GB2312" w:hint="eastAsia"/>
          <w:color w:val="000000"/>
          <w:kern w:val="0"/>
          <w:sz w:val="32"/>
          <w:szCs w:val="32"/>
        </w:rPr>
        <w:t>深入梳理分析科教城创新资源集聚优势与短板，研究提出进一步创新体制机制，完善政策支持体系，放大“创新之核”聚变和辐射效应，发挥智能制造龙城实验室等一批重大创新平台策源作用，促进“研在科教城、发在辖市区”的对策建议。</w:t>
      </w:r>
    </w:p>
    <w:p w14:paraId="1499B0E8" w14:textId="77777777" w:rsidR="0052571B" w:rsidRDefault="0052571B" w:rsidP="0052571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 xml:space="preserve">9006 </w:t>
      </w:r>
      <w:r>
        <w:rPr>
          <w:rFonts w:eastAsia="仿宋_GB2312" w:hint="eastAsia"/>
          <w:color w:val="000000"/>
          <w:kern w:val="0"/>
          <w:sz w:val="32"/>
          <w:szCs w:val="32"/>
        </w:rPr>
        <w:t>常州高成长性企业培育路径及对策研究</w:t>
      </w:r>
    </w:p>
    <w:p w14:paraId="672464D5" w14:textId="77777777" w:rsidR="0052571B" w:rsidRDefault="0052571B" w:rsidP="0052571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kern w:val="0"/>
          <w:sz w:val="32"/>
          <w:szCs w:val="32"/>
        </w:rPr>
        <w:t>主要研究内容：</w:t>
      </w:r>
      <w:r>
        <w:rPr>
          <w:rFonts w:eastAsia="仿宋_GB2312" w:hint="eastAsia"/>
          <w:color w:val="000000"/>
          <w:kern w:val="0"/>
          <w:sz w:val="32"/>
          <w:szCs w:val="32"/>
        </w:rPr>
        <w:t>针对独角兽、潜在独角兽等高成长性企业评价体系、省内外高成长性企业的培育做法进行深入分析研究，提出我市培育高成长性企业的培育路径建议。</w:t>
      </w:r>
    </w:p>
    <w:p w14:paraId="7A3D3430" w14:textId="77777777" w:rsidR="0052571B" w:rsidRDefault="0052571B" w:rsidP="0052571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 xml:space="preserve">9007 </w:t>
      </w:r>
      <w:r>
        <w:rPr>
          <w:rFonts w:eastAsia="仿宋_GB2312" w:hint="eastAsia"/>
          <w:color w:val="000000"/>
          <w:kern w:val="0"/>
          <w:sz w:val="32"/>
          <w:szCs w:val="32"/>
        </w:rPr>
        <w:t>常州新能源产业领域创新能力提升对策研究</w:t>
      </w:r>
    </w:p>
    <w:p w14:paraId="19081C76" w14:textId="77777777" w:rsidR="0052571B" w:rsidRDefault="0052571B" w:rsidP="0052571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kern w:val="0"/>
          <w:sz w:val="32"/>
          <w:szCs w:val="32"/>
        </w:rPr>
        <w:t>主要研究内容：</w:t>
      </w:r>
      <w:r>
        <w:rPr>
          <w:rFonts w:eastAsia="仿宋_GB2312" w:hint="eastAsia"/>
          <w:color w:val="000000"/>
          <w:kern w:val="0"/>
          <w:sz w:val="32"/>
          <w:szCs w:val="32"/>
        </w:rPr>
        <w:t>围绕科技创新赋能“新能源之都”建设，聚焦新能源（太阳能光伏、动力储能电池、氢能技术、智能电网、风力发电等）产业领域，研究创新平台、人才结构及分布、关键核心技术等方面存在的短板，针对性提出提升产业创新能力的对策建议。</w:t>
      </w:r>
    </w:p>
    <w:p w14:paraId="67389AA1" w14:textId="77777777" w:rsidR="0052571B" w:rsidRDefault="0052571B" w:rsidP="0052571B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90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08 </w:t>
      </w:r>
      <w:r>
        <w:rPr>
          <w:rFonts w:eastAsia="仿宋_GB2312" w:hint="eastAsia"/>
          <w:color w:val="000000"/>
          <w:kern w:val="0"/>
          <w:sz w:val="32"/>
          <w:szCs w:val="32"/>
        </w:rPr>
        <w:t>全球产业链供应链重构态势下常州生物医药产业发展对策研究</w:t>
      </w:r>
    </w:p>
    <w:p w14:paraId="0191026F" w14:textId="77777777" w:rsidR="0052571B" w:rsidRDefault="0052571B" w:rsidP="0052571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kern w:val="0"/>
          <w:sz w:val="32"/>
          <w:szCs w:val="32"/>
        </w:rPr>
        <w:t>主要研究内容：</w:t>
      </w:r>
      <w:r>
        <w:rPr>
          <w:rFonts w:eastAsia="仿宋_GB2312" w:hint="eastAsia"/>
          <w:color w:val="000000"/>
          <w:kern w:val="0"/>
          <w:sz w:val="32"/>
          <w:szCs w:val="32"/>
        </w:rPr>
        <w:t>全球产业链供应链重构对本产业的基本影响评估；影响的主要点（全产业链、某个节点（产品</w:t>
      </w:r>
      <w:r>
        <w:rPr>
          <w:rFonts w:eastAsia="仿宋_GB2312" w:hint="eastAsia"/>
          <w:color w:val="000000"/>
          <w:kern w:val="0"/>
          <w:sz w:val="32"/>
          <w:szCs w:val="32"/>
        </w:rPr>
        <w:t>/</w:t>
      </w:r>
      <w:r>
        <w:rPr>
          <w:rFonts w:eastAsia="仿宋_GB2312" w:hint="eastAsia"/>
          <w:color w:val="000000"/>
          <w:kern w:val="0"/>
          <w:sz w:val="32"/>
          <w:szCs w:val="32"/>
        </w:rPr>
        <w:t>技术</w:t>
      </w:r>
      <w:r>
        <w:rPr>
          <w:rFonts w:eastAsia="仿宋_GB2312" w:hint="eastAsia"/>
          <w:color w:val="000000"/>
          <w:kern w:val="0"/>
          <w:sz w:val="32"/>
          <w:szCs w:val="32"/>
        </w:rPr>
        <w:t>/</w:t>
      </w:r>
      <w:r>
        <w:rPr>
          <w:rFonts w:eastAsia="仿宋_GB2312" w:hint="eastAsia"/>
          <w:color w:val="000000"/>
          <w:kern w:val="0"/>
          <w:sz w:val="32"/>
          <w:szCs w:val="32"/>
        </w:rPr>
        <w:t>人才</w:t>
      </w:r>
      <w:r>
        <w:rPr>
          <w:rFonts w:eastAsia="仿宋_GB2312" w:hint="eastAsia"/>
          <w:color w:val="000000"/>
          <w:kern w:val="0"/>
          <w:sz w:val="32"/>
          <w:szCs w:val="32"/>
        </w:rPr>
        <w:t>/</w:t>
      </w:r>
      <w:r>
        <w:rPr>
          <w:rFonts w:eastAsia="仿宋_GB2312" w:hint="eastAsia"/>
          <w:color w:val="000000"/>
          <w:kern w:val="0"/>
          <w:sz w:val="32"/>
          <w:szCs w:val="32"/>
        </w:rPr>
        <w:t>渠道等））；影响的主要因素（某国政府政策限制、市场竞争变化、技术研发进展、跨国公司战略调整等）；应对措施建议（政府层面、企业层面、市场层面）。</w:t>
      </w:r>
    </w:p>
    <w:p w14:paraId="33171E0A" w14:textId="77777777" w:rsidR="0052571B" w:rsidRDefault="0052571B" w:rsidP="0052571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900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9 </w:t>
      </w:r>
      <w:r>
        <w:rPr>
          <w:rFonts w:eastAsia="仿宋_GB2312"/>
          <w:color w:val="000000"/>
          <w:kern w:val="0"/>
          <w:sz w:val="32"/>
          <w:szCs w:val="32"/>
        </w:rPr>
        <w:t>常州市科技领域安全生产管理体系构建研究</w:t>
      </w:r>
    </w:p>
    <w:p w14:paraId="18E82494" w14:textId="77777777" w:rsidR="0052571B" w:rsidRDefault="0052571B" w:rsidP="0052571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kern w:val="0"/>
          <w:sz w:val="32"/>
          <w:szCs w:val="32"/>
        </w:rPr>
        <w:t>主要研究内容：</w:t>
      </w:r>
      <w:r>
        <w:rPr>
          <w:rFonts w:eastAsia="仿宋_GB2312" w:hint="eastAsia"/>
          <w:color w:val="000000"/>
          <w:kern w:val="0"/>
          <w:sz w:val="32"/>
          <w:szCs w:val="32"/>
        </w:rPr>
        <w:t>围绕贯彻落实安全生产法“三管三必须”要求，研究我市科技</w:t>
      </w:r>
      <w:r>
        <w:rPr>
          <w:rFonts w:eastAsia="仿宋_GB2312"/>
          <w:color w:val="000000"/>
          <w:kern w:val="0"/>
          <w:sz w:val="32"/>
          <w:szCs w:val="32"/>
        </w:rPr>
        <w:t>领域</w:t>
      </w:r>
      <w:r>
        <w:rPr>
          <w:rFonts w:eastAsia="仿宋_GB2312" w:hint="eastAsia"/>
          <w:color w:val="000000"/>
          <w:kern w:val="0"/>
          <w:sz w:val="32"/>
          <w:szCs w:val="32"/>
        </w:rPr>
        <w:t>安全管理现状问题，针对短板不足研究</w:t>
      </w:r>
      <w:r>
        <w:rPr>
          <w:rFonts w:eastAsia="仿宋_GB2312"/>
          <w:color w:val="000000"/>
          <w:kern w:val="0"/>
          <w:sz w:val="32"/>
          <w:szCs w:val="32"/>
        </w:rPr>
        <w:t>建立科学</w:t>
      </w:r>
      <w:r>
        <w:rPr>
          <w:rFonts w:eastAsia="仿宋_GB2312" w:hint="eastAsia"/>
          <w:color w:val="000000"/>
          <w:kern w:val="0"/>
          <w:sz w:val="32"/>
          <w:szCs w:val="32"/>
        </w:rPr>
        <w:t>有效的</w:t>
      </w:r>
      <w:r>
        <w:rPr>
          <w:rFonts w:eastAsia="仿宋_GB2312"/>
          <w:color w:val="000000"/>
          <w:kern w:val="0"/>
          <w:sz w:val="32"/>
          <w:szCs w:val="32"/>
        </w:rPr>
        <w:t>安全管理</w:t>
      </w:r>
      <w:r>
        <w:rPr>
          <w:rFonts w:eastAsia="仿宋_GB2312" w:hint="eastAsia"/>
          <w:color w:val="000000"/>
          <w:kern w:val="0"/>
          <w:sz w:val="32"/>
          <w:szCs w:val="32"/>
        </w:rPr>
        <w:t>体系</w:t>
      </w:r>
      <w:r>
        <w:rPr>
          <w:rFonts w:eastAsia="仿宋_GB2312"/>
          <w:color w:val="000000"/>
          <w:kern w:val="0"/>
          <w:sz w:val="32"/>
          <w:szCs w:val="32"/>
        </w:rPr>
        <w:t>与</w:t>
      </w:r>
      <w:r>
        <w:rPr>
          <w:rFonts w:eastAsia="仿宋_GB2312" w:hint="eastAsia"/>
          <w:color w:val="000000"/>
          <w:kern w:val="0"/>
          <w:sz w:val="32"/>
          <w:szCs w:val="32"/>
        </w:rPr>
        <w:t>长效</w:t>
      </w:r>
      <w:r>
        <w:rPr>
          <w:rFonts w:eastAsia="仿宋_GB2312"/>
          <w:color w:val="000000"/>
          <w:kern w:val="0"/>
          <w:sz w:val="32"/>
          <w:szCs w:val="32"/>
        </w:rPr>
        <w:t>管理机制，</w:t>
      </w:r>
      <w:r>
        <w:rPr>
          <w:rFonts w:eastAsia="仿宋_GB2312" w:hint="eastAsia"/>
          <w:color w:val="000000"/>
          <w:kern w:val="0"/>
          <w:sz w:val="32"/>
          <w:szCs w:val="32"/>
        </w:rPr>
        <w:t>构建</w:t>
      </w:r>
      <w:r>
        <w:rPr>
          <w:rFonts w:eastAsia="仿宋_GB2312"/>
          <w:color w:val="000000"/>
          <w:kern w:val="0"/>
          <w:sz w:val="32"/>
          <w:szCs w:val="32"/>
        </w:rPr>
        <w:t>科技领域行业安全监管、专业监管、属地监管的部门联动机制</w:t>
      </w:r>
      <w:r>
        <w:rPr>
          <w:rFonts w:eastAsia="仿宋_GB2312" w:hint="eastAsia"/>
          <w:color w:val="000000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制定</w:t>
      </w:r>
      <w:r>
        <w:rPr>
          <w:rFonts w:eastAsia="仿宋_GB2312" w:hint="eastAsia"/>
          <w:color w:val="000000"/>
          <w:kern w:val="0"/>
          <w:sz w:val="32"/>
          <w:szCs w:val="32"/>
        </w:rPr>
        <w:t>科技领域</w:t>
      </w:r>
      <w:r>
        <w:rPr>
          <w:rFonts w:eastAsia="仿宋_GB2312"/>
          <w:color w:val="000000"/>
          <w:kern w:val="0"/>
          <w:sz w:val="32"/>
          <w:szCs w:val="32"/>
        </w:rPr>
        <w:t>日常安全检查工作指南，</w:t>
      </w:r>
      <w:r>
        <w:rPr>
          <w:rFonts w:eastAsia="仿宋_GB2312" w:hint="eastAsia"/>
          <w:color w:val="000000"/>
          <w:kern w:val="0"/>
          <w:sz w:val="32"/>
          <w:szCs w:val="32"/>
        </w:rPr>
        <w:t>提出</w:t>
      </w:r>
      <w:r>
        <w:rPr>
          <w:rFonts w:eastAsia="仿宋_GB2312"/>
          <w:color w:val="000000"/>
          <w:kern w:val="0"/>
          <w:sz w:val="32"/>
          <w:szCs w:val="32"/>
        </w:rPr>
        <w:t>落实</w:t>
      </w:r>
      <w:r>
        <w:rPr>
          <w:rFonts w:eastAsia="仿宋_GB2312" w:hint="eastAsia"/>
          <w:color w:val="000000"/>
          <w:kern w:val="0"/>
          <w:sz w:val="32"/>
          <w:szCs w:val="32"/>
        </w:rPr>
        <w:t>安全监管</w:t>
      </w:r>
      <w:r>
        <w:rPr>
          <w:rFonts w:eastAsia="仿宋_GB2312"/>
          <w:color w:val="000000"/>
          <w:kern w:val="0"/>
          <w:sz w:val="32"/>
          <w:szCs w:val="32"/>
        </w:rPr>
        <w:t>主体责任</w:t>
      </w:r>
      <w:r>
        <w:rPr>
          <w:rFonts w:eastAsia="仿宋_GB2312" w:hint="eastAsia"/>
          <w:color w:val="000000"/>
          <w:kern w:val="0"/>
          <w:sz w:val="32"/>
          <w:szCs w:val="32"/>
        </w:rPr>
        <w:t>，全面</w:t>
      </w:r>
      <w:r>
        <w:rPr>
          <w:rFonts w:eastAsia="仿宋_GB2312"/>
          <w:color w:val="000000"/>
          <w:kern w:val="0"/>
          <w:sz w:val="32"/>
          <w:szCs w:val="32"/>
        </w:rPr>
        <w:t>提升</w:t>
      </w:r>
      <w:r>
        <w:rPr>
          <w:rFonts w:eastAsia="仿宋_GB2312" w:hint="eastAsia"/>
          <w:color w:val="000000"/>
          <w:kern w:val="0"/>
          <w:sz w:val="32"/>
          <w:szCs w:val="32"/>
        </w:rPr>
        <w:t>科技领域</w:t>
      </w:r>
      <w:r>
        <w:rPr>
          <w:rFonts w:eastAsia="仿宋_GB2312"/>
          <w:color w:val="000000"/>
          <w:kern w:val="0"/>
          <w:sz w:val="32"/>
          <w:szCs w:val="32"/>
        </w:rPr>
        <w:t>安全风险管控能力</w:t>
      </w:r>
      <w:r>
        <w:rPr>
          <w:rFonts w:eastAsia="仿宋_GB2312" w:hint="eastAsia"/>
          <w:color w:val="000000"/>
          <w:kern w:val="0"/>
          <w:sz w:val="32"/>
          <w:szCs w:val="32"/>
        </w:rPr>
        <w:t>的对策建议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 w14:paraId="1CCFF090" w14:textId="77777777" w:rsidR="0052571B" w:rsidRDefault="0052571B" w:rsidP="0052571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90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10 </w:t>
      </w:r>
      <w:r>
        <w:rPr>
          <w:rFonts w:eastAsia="仿宋_GB2312" w:hint="eastAsia"/>
          <w:color w:val="000000"/>
          <w:kern w:val="0"/>
          <w:sz w:val="32"/>
          <w:szCs w:val="32"/>
        </w:rPr>
        <w:t>技术合同登记工作提质增效途径研究</w:t>
      </w:r>
    </w:p>
    <w:p w14:paraId="704C7547" w14:textId="77777777" w:rsidR="0052571B" w:rsidRDefault="0052571B" w:rsidP="0052571B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kern w:val="0"/>
          <w:sz w:val="32"/>
          <w:szCs w:val="32"/>
        </w:rPr>
        <w:t>主要研究内容：</w:t>
      </w:r>
      <w:r>
        <w:rPr>
          <w:rFonts w:eastAsia="仿宋_GB2312" w:hint="eastAsia"/>
          <w:color w:val="000000"/>
          <w:kern w:val="0"/>
          <w:sz w:val="32"/>
          <w:szCs w:val="32"/>
        </w:rPr>
        <w:t>以高质量完成江苏省高质量考核指标</w:t>
      </w:r>
      <w:r>
        <w:rPr>
          <w:rFonts w:eastAsia="仿宋_GB2312" w:hint="eastAsia"/>
          <w:color w:val="000000"/>
          <w:kern w:val="0"/>
          <w:sz w:val="32"/>
          <w:szCs w:val="32"/>
        </w:rPr>
        <w:t>-</w:t>
      </w:r>
      <w:r>
        <w:rPr>
          <w:rFonts w:eastAsia="仿宋_GB2312" w:hint="eastAsia"/>
          <w:color w:val="000000"/>
          <w:kern w:val="0"/>
          <w:sz w:val="32"/>
          <w:szCs w:val="32"/>
        </w:rPr>
        <w:t>技术合同登记成交额为目标，研究各类主体在技术转移过程中特点和作用，提出促进技术市场繁荣的举措及政策引导方向。</w:t>
      </w:r>
    </w:p>
    <w:p w14:paraId="403C0663" w14:textId="77777777" w:rsidR="0052571B" w:rsidRDefault="0052571B" w:rsidP="0052571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901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1 </w:t>
      </w:r>
      <w:r>
        <w:rPr>
          <w:rFonts w:eastAsia="仿宋_GB2312"/>
          <w:color w:val="000000"/>
          <w:kern w:val="0"/>
          <w:sz w:val="32"/>
          <w:szCs w:val="32"/>
        </w:rPr>
        <w:t>制造业企业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智改数转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发展</w:t>
      </w:r>
      <w:r>
        <w:rPr>
          <w:rFonts w:eastAsia="仿宋_GB2312" w:hint="eastAsia"/>
          <w:color w:val="000000"/>
          <w:kern w:val="0"/>
          <w:sz w:val="32"/>
          <w:szCs w:val="32"/>
        </w:rPr>
        <w:t>路径及</w:t>
      </w:r>
      <w:r>
        <w:rPr>
          <w:rFonts w:eastAsia="仿宋_GB2312"/>
          <w:color w:val="000000"/>
          <w:kern w:val="0"/>
          <w:sz w:val="32"/>
          <w:szCs w:val="32"/>
        </w:rPr>
        <w:t>对策研究</w:t>
      </w:r>
    </w:p>
    <w:p w14:paraId="59CDE140" w14:textId="77777777" w:rsidR="0052571B" w:rsidRDefault="0052571B" w:rsidP="0052571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kern w:val="0"/>
          <w:sz w:val="32"/>
          <w:szCs w:val="32"/>
        </w:rPr>
        <w:t>主要研究内容：</w:t>
      </w:r>
      <w:r>
        <w:rPr>
          <w:rFonts w:eastAsia="仿宋_GB2312" w:hint="eastAsia"/>
          <w:color w:val="000000"/>
          <w:kern w:val="0"/>
          <w:sz w:val="32"/>
          <w:szCs w:val="32"/>
        </w:rPr>
        <w:t>分析制造业企业“智改数转”存在的问题，研究“数转智改”核心特征、成长规律和发展方向，对常州制造业企业“数转智改”能力成熟度进行实证调研，针对不同能力成熟度下的常州制造业企业，分别提出“数转智改”发展路径和对策建议。</w:t>
      </w:r>
    </w:p>
    <w:p w14:paraId="4A47338F" w14:textId="77777777" w:rsidR="0052571B" w:rsidRDefault="0052571B" w:rsidP="0052571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901</w:t>
      </w:r>
      <w:r>
        <w:rPr>
          <w:rFonts w:eastAsia="仿宋_GB2312" w:hint="eastAsia"/>
          <w:color w:val="000000"/>
          <w:kern w:val="0"/>
          <w:sz w:val="32"/>
          <w:szCs w:val="32"/>
        </w:rPr>
        <w:t>2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kern w:val="0"/>
          <w:sz w:val="32"/>
          <w:szCs w:val="32"/>
        </w:rPr>
        <w:t>建设常州特色新能源互联网，支撑绿色低碳发展的对策研究</w:t>
      </w:r>
    </w:p>
    <w:p w14:paraId="2891D097" w14:textId="77777777" w:rsidR="0052571B" w:rsidRDefault="0052571B" w:rsidP="0052571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kern w:val="0"/>
          <w:sz w:val="32"/>
          <w:szCs w:val="32"/>
        </w:rPr>
        <w:t>主要研究内容：</w:t>
      </w:r>
      <w:r>
        <w:rPr>
          <w:rFonts w:eastAsia="仿宋_GB2312" w:hint="eastAsia"/>
          <w:color w:val="000000"/>
          <w:kern w:val="0"/>
          <w:sz w:val="32"/>
          <w:szCs w:val="32"/>
        </w:rPr>
        <w:t>为加快“新能源之都”建设，研究分析我市新能源产业结构、规模、特色、短板以及相关政策实施效果等，提出在技术驱动背景下如何围绕自身产业特点和发展趋势、建设常州特色新能源互联网、支撑绿色低碳发展的对策建议。</w:t>
      </w:r>
    </w:p>
    <w:p w14:paraId="7CFBE9F3" w14:textId="77777777" w:rsidR="0052571B" w:rsidRDefault="0052571B" w:rsidP="0052571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黑体" w:eastAsia="黑体" w:hint="eastAsia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三、面上项目</w:t>
      </w:r>
    </w:p>
    <w:p w14:paraId="674AF8D9" w14:textId="77777777" w:rsidR="0052571B" w:rsidRDefault="0052571B" w:rsidP="0052571B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901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3 </w:t>
      </w:r>
      <w:r>
        <w:rPr>
          <w:rFonts w:eastAsia="仿宋_GB2312" w:hint="eastAsia"/>
          <w:color w:val="000000"/>
          <w:kern w:val="0"/>
          <w:sz w:val="32"/>
          <w:szCs w:val="32"/>
        </w:rPr>
        <w:t>企业自主创新能力提升策略研究</w:t>
      </w:r>
    </w:p>
    <w:p w14:paraId="42399A7D" w14:textId="77777777" w:rsidR="0052571B" w:rsidRDefault="0052571B" w:rsidP="0052571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研究方向：包括推动企业参与基础研究的实施路径，龙头企业打造重大创新平台的问题和对策，依托龙头企业培育创新产业集群的案例和对策，“四科”标准科技型中小企业培育路径与案例研究，科创板上市企业培育路径，</w:t>
      </w:r>
      <w:r>
        <w:rPr>
          <w:rFonts w:eastAsia="仿宋_GB2312"/>
          <w:color w:val="000000"/>
          <w:kern w:val="0"/>
          <w:sz w:val="32"/>
          <w:szCs w:val="32"/>
        </w:rPr>
        <w:t>科技型企业分类培育机制与政策研究，</w:t>
      </w:r>
      <w:r>
        <w:rPr>
          <w:rFonts w:eastAsia="仿宋_GB2312" w:hint="eastAsia"/>
          <w:color w:val="000000"/>
          <w:kern w:val="0"/>
          <w:sz w:val="32"/>
          <w:szCs w:val="32"/>
        </w:rPr>
        <w:t>企业建立国际性产业技术创新联盟的引导机制等。</w:t>
      </w:r>
    </w:p>
    <w:p w14:paraId="36E87857" w14:textId="77777777" w:rsidR="0052571B" w:rsidRDefault="0052571B" w:rsidP="0052571B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901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4 </w:t>
      </w:r>
      <w:r>
        <w:rPr>
          <w:rFonts w:eastAsia="仿宋_GB2312"/>
          <w:color w:val="000000"/>
          <w:kern w:val="0"/>
          <w:sz w:val="32"/>
          <w:szCs w:val="32"/>
        </w:rPr>
        <w:t>高水平科技人才高地建设路径</w:t>
      </w:r>
      <w:r>
        <w:rPr>
          <w:rFonts w:eastAsia="仿宋_GB2312" w:hint="eastAsia"/>
          <w:color w:val="000000"/>
          <w:kern w:val="0"/>
          <w:sz w:val="32"/>
          <w:szCs w:val="32"/>
        </w:rPr>
        <w:t>研究</w:t>
      </w:r>
    </w:p>
    <w:p w14:paraId="0F5D6DA9" w14:textId="77777777" w:rsidR="0052571B" w:rsidRDefault="0052571B" w:rsidP="0052571B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研究方向：包括</w:t>
      </w:r>
      <w:r>
        <w:rPr>
          <w:rFonts w:eastAsia="仿宋_GB2312"/>
          <w:color w:val="000000"/>
          <w:kern w:val="0"/>
          <w:sz w:val="32"/>
          <w:szCs w:val="32"/>
        </w:rPr>
        <w:t>重点产业领域海外科技人才引进现状与对策</w:t>
      </w:r>
      <w:r>
        <w:rPr>
          <w:rFonts w:eastAsia="仿宋_GB2312" w:hint="eastAsia"/>
          <w:color w:val="000000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基础研究人才</w:t>
      </w:r>
      <w:r>
        <w:rPr>
          <w:rFonts w:eastAsia="仿宋_GB2312" w:hint="eastAsia"/>
          <w:color w:val="000000"/>
          <w:kern w:val="0"/>
          <w:sz w:val="32"/>
          <w:szCs w:val="32"/>
        </w:rPr>
        <w:t>及青年科技人员</w:t>
      </w:r>
      <w:r>
        <w:rPr>
          <w:rFonts w:eastAsia="仿宋_GB2312"/>
          <w:color w:val="000000"/>
          <w:kern w:val="0"/>
          <w:sz w:val="32"/>
          <w:szCs w:val="32"/>
        </w:rPr>
        <w:t>长期稳定支持</w:t>
      </w:r>
      <w:r>
        <w:rPr>
          <w:rFonts w:eastAsia="仿宋_GB2312" w:hint="eastAsia"/>
          <w:color w:val="000000"/>
          <w:kern w:val="0"/>
          <w:sz w:val="32"/>
          <w:szCs w:val="32"/>
        </w:rPr>
        <w:t>机制，顶尖人才和创新团队引育与使用机制，新型研发机构科教融合培养产业创新人才思路与举措，</w:t>
      </w:r>
      <w:r>
        <w:rPr>
          <w:rFonts w:eastAsia="仿宋_GB2312"/>
          <w:color w:val="000000"/>
          <w:kern w:val="0"/>
          <w:sz w:val="32"/>
          <w:szCs w:val="32"/>
        </w:rPr>
        <w:t>关键核心技术人才攻关联合体机制，</w:t>
      </w:r>
      <w:r>
        <w:rPr>
          <w:rFonts w:eastAsia="仿宋_GB2312" w:hint="eastAsia"/>
          <w:color w:val="000000"/>
          <w:kern w:val="0"/>
          <w:sz w:val="32"/>
          <w:szCs w:val="32"/>
        </w:rPr>
        <w:t>科技人才评价改革机制，持续减轻科研人员负担机制，国内外科技人才政策比较与借鉴等。</w:t>
      </w:r>
    </w:p>
    <w:p w14:paraId="0E44ADE3" w14:textId="77777777" w:rsidR="0052571B" w:rsidRDefault="0052571B" w:rsidP="0052571B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901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5 </w:t>
      </w:r>
      <w:r>
        <w:rPr>
          <w:rFonts w:eastAsia="仿宋_GB2312" w:hint="eastAsia"/>
          <w:color w:val="000000"/>
          <w:kern w:val="0"/>
          <w:sz w:val="32"/>
          <w:szCs w:val="32"/>
        </w:rPr>
        <w:t>区域创新体系优化布局研究</w:t>
      </w:r>
    </w:p>
    <w:p w14:paraId="7BCF877F" w14:textId="77777777" w:rsidR="0052571B" w:rsidRDefault="0052571B" w:rsidP="0052571B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研究方向：包括区域科技创新中心建设路径，高新区创新驱动高质量发展路径实证研究，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两湖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创新区创新发展研究，打造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新能源之都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创新路径，</w:t>
      </w:r>
      <w:r>
        <w:rPr>
          <w:rFonts w:eastAsia="仿宋_GB2312" w:hint="eastAsia"/>
          <w:color w:val="000000"/>
          <w:kern w:val="0"/>
          <w:sz w:val="32"/>
          <w:szCs w:val="32"/>
        </w:rPr>
        <w:t>长三角重点产业协同攻关机制与路径，长三角联合推进技术创新与资源共享的实施路径，新阶段深化国际科技合作的思路和举措，</w:t>
      </w:r>
      <w:r>
        <w:rPr>
          <w:rFonts w:eastAsia="仿宋_GB2312"/>
          <w:color w:val="000000"/>
          <w:kern w:val="0"/>
          <w:sz w:val="32"/>
          <w:szCs w:val="32"/>
        </w:rPr>
        <w:t>常州</w:t>
      </w:r>
      <w:r>
        <w:rPr>
          <w:rFonts w:eastAsia="仿宋_GB2312" w:hint="eastAsia"/>
          <w:color w:val="000000"/>
          <w:kern w:val="0"/>
          <w:sz w:val="32"/>
          <w:szCs w:val="32"/>
        </w:rPr>
        <w:t>与“一带一路”国家深入开展科技创新合作机制</w:t>
      </w:r>
      <w:r>
        <w:rPr>
          <w:rFonts w:eastAsia="仿宋_GB2312"/>
          <w:color w:val="000000"/>
          <w:kern w:val="0"/>
          <w:sz w:val="32"/>
          <w:szCs w:val="32"/>
        </w:rPr>
        <w:t>，</w:t>
      </w:r>
      <w:r>
        <w:rPr>
          <w:rFonts w:eastAsia="仿宋_GB2312" w:hint="eastAsia"/>
          <w:color w:val="000000"/>
          <w:kern w:val="0"/>
          <w:sz w:val="32"/>
          <w:szCs w:val="32"/>
        </w:rPr>
        <w:t>企业创新国际化的问题和对策等。</w:t>
      </w:r>
    </w:p>
    <w:p w14:paraId="638E0F84" w14:textId="77777777" w:rsidR="0052571B" w:rsidRDefault="0052571B" w:rsidP="0052571B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901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6 </w:t>
      </w:r>
      <w:r>
        <w:rPr>
          <w:rFonts w:eastAsia="仿宋_GB2312" w:hint="eastAsia"/>
          <w:color w:val="000000"/>
          <w:kern w:val="0"/>
          <w:sz w:val="32"/>
          <w:szCs w:val="32"/>
        </w:rPr>
        <w:t>科技支撑数字经济发展策略研究</w:t>
      </w:r>
    </w:p>
    <w:p w14:paraId="5BF628DF" w14:textId="77777777" w:rsidR="0052571B" w:rsidRDefault="0052571B" w:rsidP="0052571B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研究方向：包括数字经济创新需求、优势领域、发展短板研究，国际数字经济发展趋势与对策，区块链、人工智能、量子信息等未来产业科技发展对策，科技数据资源开放共享体系建设，</w:t>
      </w:r>
      <w:r>
        <w:rPr>
          <w:rFonts w:eastAsia="仿宋_GB2312"/>
          <w:color w:val="000000"/>
          <w:kern w:val="0"/>
          <w:sz w:val="32"/>
          <w:szCs w:val="32"/>
        </w:rPr>
        <w:t>工业机器人、</w:t>
      </w:r>
      <w:r>
        <w:rPr>
          <w:rFonts w:eastAsia="仿宋_GB2312" w:hint="eastAsia"/>
          <w:color w:val="000000"/>
          <w:kern w:val="0"/>
          <w:sz w:val="32"/>
          <w:szCs w:val="32"/>
        </w:rPr>
        <w:t>集成电路等重点产业知识产权保护机制等。</w:t>
      </w:r>
    </w:p>
    <w:p w14:paraId="0D8ADEC3" w14:textId="77777777" w:rsidR="0052571B" w:rsidRDefault="0052571B" w:rsidP="0052571B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901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7 </w:t>
      </w:r>
      <w:r>
        <w:rPr>
          <w:rFonts w:eastAsia="仿宋_GB2312" w:hint="eastAsia"/>
          <w:color w:val="000000"/>
          <w:kern w:val="0"/>
          <w:sz w:val="32"/>
          <w:szCs w:val="32"/>
        </w:rPr>
        <w:t>科技支撑绿色低碳发展策略研究</w:t>
      </w:r>
    </w:p>
    <w:p w14:paraId="239099F6" w14:textId="77777777" w:rsidR="0052571B" w:rsidRDefault="0052571B" w:rsidP="0052571B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研究方向：包括科技创新支撑“双碳”目标实现的实施路径，“双碳”</w:t>
      </w:r>
      <w:r>
        <w:rPr>
          <w:rFonts w:eastAsia="仿宋_GB2312"/>
          <w:color w:val="000000"/>
          <w:kern w:val="0"/>
          <w:sz w:val="32"/>
          <w:szCs w:val="32"/>
        </w:rPr>
        <w:t>背景下</w:t>
      </w:r>
      <w:r>
        <w:rPr>
          <w:rFonts w:eastAsia="仿宋_GB2312" w:hint="eastAsia"/>
          <w:color w:val="000000"/>
          <w:kern w:val="0"/>
          <w:sz w:val="32"/>
          <w:szCs w:val="32"/>
        </w:rPr>
        <w:t>传统</w:t>
      </w:r>
      <w:r>
        <w:rPr>
          <w:rFonts w:eastAsia="仿宋_GB2312"/>
          <w:color w:val="000000"/>
          <w:kern w:val="0"/>
          <w:sz w:val="32"/>
          <w:szCs w:val="32"/>
        </w:rPr>
        <w:t>产业</w:t>
      </w:r>
      <w:r>
        <w:rPr>
          <w:rFonts w:eastAsia="仿宋_GB2312" w:hint="eastAsia"/>
          <w:color w:val="000000"/>
          <w:kern w:val="0"/>
          <w:sz w:val="32"/>
          <w:szCs w:val="32"/>
        </w:rPr>
        <w:t>、新兴产业</w:t>
      </w:r>
      <w:r>
        <w:rPr>
          <w:rFonts w:eastAsia="仿宋_GB2312"/>
          <w:color w:val="000000"/>
          <w:kern w:val="0"/>
          <w:sz w:val="32"/>
          <w:szCs w:val="32"/>
        </w:rPr>
        <w:t>发展</w:t>
      </w:r>
      <w:r>
        <w:rPr>
          <w:rFonts w:eastAsia="仿宋_GB2312" w:hint="eastAsia"/>
          <w:color w:val="000000"/>
          <w:kern w:val="0"/>
          <w:sz w:val="32"/>
          <w:szCs w:val="32"/>
        </w:rPr>
        <w:t>策略，“双碳”背景下企业高质量发展的战略选择和发展路径，科技金融支持“双碳”目标实现的问题和对策，</w:t>
      </w:r>
      <w:r>
        <w:rPr>
          <w:rFonts w:eastAsia="仿宋_GB2312"/>
          <w:color w:val="000000"/>
          <w:kern w:val="0"/>
          <w:sz w:val="32"/>
          <w:szCs w:val="32"/>
        </w:rPr>
        <w:t>常州</w:t>
      </w:r>
      <w:r>
        <w:rPr>
          <w:rFonts w:eastAsia="仿宋_GB2312" w:hint="eastAsia"/>
          <w:color w:val="000000"/>
          <w:kern w:val="0"/>
          <w:sz w:val="32"/>
          <w:szCs w:val="32"/>
        </w:rPr>
        <w:t>培育氢能、生物质能、太阳能等新能源产业的问题和对策等。</w:t>
      </w:r>
    </w:p>
    <w:p w14:paraId="7D6F31E7" w14:textId="77777777" w:rsidR="0052571B" w:rsidRDefault="0052571B" w:rsidP="0052571B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901</w:t>
      </w:r>
      <w:r>
        <w:rPr>
          <w:rFonts w:eastAsia="仿宋_GB2312" w:hint="eastAsia"/>
          <w:color w:val="000000"/>
          <w:kern w:val="0"/>
          <w:sz w:val="32"/>
          <w:szCs w:val="32"/>
        </w:rPr>
        <w:t>8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kern w:val="0"/>
          <w:sz w:val="32"/>
          <w:szCs w:val="32"/>
        </w:rPr>
        <w:t>科技支撑</w:t>
      </w:r>
      <w:r>
        <w:rPr>
          <w:rFonts w:eastAsia="仿宋_GB2312"/>
          <w:color w:val="000000"/>
          <w:kern w:val="0"/>
          <w:sz w:val="32"/>
          <w:szCs w:val="32"/>
        </w:rPr>
        <w:t>生命健康与社会发展</w:t>
      </w:r>
      <w:r>
        <w:rPr>
          <w:rFonts w:eastAsia="仿宋_GB2312" w:hint="eastAsia"/>
          <w:color w:val="000000"/>
          <w:kern w:val="0"/>
          <w:sz w:val="32"/>
          <w:szCs w:val="32"/>
        </w:rPr>
        <w:t>策略研究</w:t>
      </w:r>
    </w:p>
    <w:p w14:paraId="2DDA6C52" w14:textId="77777777" w:rsidR="0052571B" w:rsidRDefault="0052571B" w:rsidP="0052571B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研究方向：包括生物医药关键材料供应保障机制，</w:t>
      </w:r>
      <w:r>
        <w:rPr>
          <w:rFonts w:eastAsia="仿宋_GB2312"/>
          <w:color w:val="000000"/>
          <w:kern w:val="0"/>
          <w:sz w:val="32"/>
          <w:szCs w:val="32"/>
        </w:rPr>
        <w:t>生物安全科技支撑体系建设</w:t>
      </w:r>
      <w:r>
        <w:rPr>
          <w:rFonts w:eastAsia="仿宋_GB2312" w:hint="eastAsia"/>
          <w:color w:val="000000"/>
          <w:kern w:val="0"/>
          <w:sz w:val="32"/>
          <w:szCs w:val="32"/>
        </w:rPr>
        <w:t>，推进种业科技自立自强、种源自主可控的路径，科技支撑乡村建设和乡村振兴的路径，生物样本资源的管理和开放共享机制，中医药创新发展的科研组织模式和管理机制研究等。</w:t>
      </w:r>
    </w:p>
    <w:p w14:paraId="2F7A53F1" w14:textId="77777777" w:rsidR="0052571B" w:rsidRDefault="0052571B" w:rsidP="0052571B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901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9 </w:t>
      </w:r>
      <w:r>
        <w:rPr>
          <w:rFonts w:eastAsia="仿宋_GB2312" w:hint="eastAsia"/>
          <w:color w:val="000000"/>
          <w:kern w:val="0"/>
          <w:sz w:val="32"/>
          <w:szCs w:val="32"/>
        </w:rPr>
        <w:t>提升科技创新治理能力策略研究</w:t>
      </w:r>
    </w:p>
    <w:p w14:paraId="02F30957" w14:textId="77777777" w:rsidR="0052571B" w:rsidRDefault="0052571B" w:rsidP="0052571B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研究方向：包括数字化赋能科技管理模式变革，科研机构绩效评价，科技安全风险防控与监测机制，科技伦理风险监测预警机制，科技成果转化尽职免责和风险防控机制，科技敏感信息保护机制，应急管理科技支撑体系建设，科技资源共享服务体系建设等。</w:t>
      </w:r>
    </w:p>
    <w:p w14:paraId="40B9F857" w14:textId="77777777" w:rsidR="00896163" w:rsidRDefault="00896163" w:rsidP="0052571B">
      <w:pPr>
        <w:rPr>
          <w:rFonts w:hint="eastAsia"/>
        </w:rPr>
      </w:pPr>
    </w:p>
    <w:sectPr w:rsidR="00896163" w:rsidSect="00F9700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Microsoft YaHei Light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1B"/>
    <w:rsid w:val="00006DD5"/>
    <w:rsid w:val="00015925"/>
    <w:rsid w:val="00020218"/>
    <w:rsid w:val="00027503"/>
    <w:rsid w:val="000339C1"/>
    <w:rsid w:val="00051CF6"/>
    <w:rsid w:val="000669CB"/>
    <w:rsid w:val="0007773D"/>
    <w:rsid w:val="00082410"/>
    <w:rsid w:val="0009504E"/>
    <w:rsid w:val="00096CF4"/>
    <w:rsid w:val="000D6137"/>
    <w:rsid w:val="000F2D16"/>
    <w:rsid w:val="000F75E4"/>
    <w:rsid w:val="00104AD8"/>
    <w:rsid w:val="00107E06"/>
    <w:rsid w:val="0011702D"/>
    <w:rsid w:val="00117BE3"/>
    <w:rsid w:val="0012126D"/>
    <w:rsid w:val="001260B0"/>
    <w:rsid w:val="0014405B"/>
    <w:rsid w:val="0018345F"/>
    <w:rsid w:val="001A2E63"/>
    <w:rsid w:val="001A51A6"/>
    <w:rsid w:val="001A77E2"/>
    <w:rsid w:val="001B27F3"/>
    <w:rsid w:val="001B33A6"/>
    <w:rsid w:val="001B3A3C"/>
    <w:rsid w:val="001C61EA"/>
    <w:rsid w:val="001E4DE3"/>
    <w:rsid w:val="001E6B15"/>
    <w:rsid w:val="00243773"/>
    <w:rsid w:val="00247E5B"/>
    <w:rsid w:val="00251118"/>
    <w:rsid w:val="0025224E"/>
    <w:rsid w:val="002556AB"/>
    <w:rsid w:val="002719AF"/>
    <w:rsid w:val="0027319F"/>
    <w:rsid w:val="00286E32"/>
    <w:rsid w:val="00295D1C"/>
    <w:rsid w:val="002A1243"/>
    <w:rsid w:val="002B2476"/>
    <w:rsid w:val="002C316D"/>
    <w:rsid w:val="003018DE"/>
    <w:rsid w:val="0032649E"/>
    <w:rsid w:val="00367224"/>
    <w:rsid w:val="00377248"/>
    <w:rsid w:val="00377D3C"/>
    <w:rsid w:val="00380013"/>
    <w:rsid w:val="00380E18"/>
    <w:rsid w:val="00390E72"/>
    <w:rsid w:val="00393A86"/>
    <w:rsid w:val="00396019"/>
    <w:rsid w:val="0039663F"/>
    <w:rsid w:val="003A26AC"/>
    <w:rsid w:val="003B43A5"/>
    <w:rsid w:val="003E5839"/>
    <w:rsid w:val="003F2254"/>
    <w:rsid w:val="004075AF"/>
    <w:rsid w:val="004206EE"/>
    <w:rsid w:val="00422C06"/>
    <w:rsid w:val="00422E62"/>
    <w:rsid w:val="0042395A"/>
    <w:rsid w:val="0042537F"/>
    <w:rsid w:val="00432BA6"/>
    <w:rsid w:val="00432BFE"/>
    <w:rsid w:val="00433CEA"/>
    <w:rsid w:val="00443F4D"/>
    <w:rsid w:val="00451ACC"/>
    <w:rsid w:val="004724E6"/>
    <w:rsid w:val="004C2598"/>
    <w:rsid w:val="004F01C5"/>
    <w:rsid w:val="0051336D"/>
    <w:rsid w:val="00520490"/>
    <w:rsid w:val="0052120C"/>
    <w:rsid w:val="0052412D"/>
    <w:rsid w:val="0052571B"/>
    <w:rsid w:val="00570428"/>
    <w:rsid w:val="005757A7"/>
    <w:rsid w:val="0059600E"/>
    <w:rsid w:val="005A0D26"/>
    <w:rsid w:val="005C1974"/>
    <w:rsid w:val="005C1DBB"/>
    <w:rsid w:val="005C5685"/>
    <w:rsid w:val="006337E1"/>
    <w:rsid w:val="00634066"/>
    <w:rsid w:val="006558B1"/>
    <w:rsid w:val="00670A57"/>
    <w:rsid w:val="00670FC6"/>
    <w:rsid w:val="00671232"/>
    <w:rsid w:val="00673046"/>
    <w:rsid w:val="00681CCF"/>
    <w:rsid w:val="006900D8"/>
    <w:rsid w:val="006944EC"/>
    <w:rsid w:val="006A195D"/>
    <w:rsid w:val="006A1A91"/>
    <w:rsid w:val="006B1F06"/>
    <w:rsid w:val="006B6427"/>
    <w:rsid w:val="006D39E0"/>
    <w:rsid w:val="006D729F"/>
    <w:rsid w:val="006E0C66"/>
    <w:rsid w:val="006F29DA"/>
    <w:rsid w:val="006F6C97"/>
    <w:rsid w:val="00705B10"/>
    <w:rsid w:val="00715E3A"/>
    <w:rsid w:val="00724BED"/>
    <w:rsid w:val="00740CA9"/>
    <w:rsid w:val="00741C5B"/>
    <w:rsid w:val="00743916"/>
    <w:rsid w:val="00747BC7"/>
    <w:rsid w:val="0075518D"/>
    <w:rsid w:val="00757C1C"/>
    <w:rsid w:val="007670C3"/>
    <w:rsid w:val="00767C50"/>
    <w:rsid w:val="00771EBD"/>
    <w:rsid w:val="007E7FEF"/>
    <w:rsid w:val="007F21E7"/>
    <w:rsid w:val="00817BC9"/>
    <w:rsid w:val="008331F3"/>
    <w:rsid w:val="00852438"/>
    <w:rsid w:val="00856C2A"/>
    <w:rsid w:val="00896163"/>
    <w:rsid w:val="00897C99"/>
    <w:rsid w:val="008A3C82"/>
    <w:rsid w:val="008B464A"/>
    <w:rsid w:val="008F21C9"/>
    <w:rsid w:val="00904CCC"/>
    <w:rsid w:val="00916695"/>
    <w:rsid w:val="00917AB3"/>
    <w:rsid w:val="00917AF3"/>
    <w:rsid w:val="00935370"/>
    <w:rsid w:val="00936E59"/>
    <w:rsid w:val="009527C6"/>
    <w:rsid w:val="009547C2"/>
    <w:rsid w:val="00960EE3"/>
    <w:rsid w:val="009631EA"/>
    <w:rsid w:val="0097324A"/>
    <w:rsid w:val="00991C93"/>
    <w:rsid w:val="00992445"/>
    <w:rsid w:val="009A2145"/>
    <w:rsid w:val="009C7AD3"/>
    <w:rsid w:val="009D5888"/>
    <w:rsid w:val="00A0639A"/>
    <w:rsid w:val="00A309C4"/>
    <w:rsid w:val="00A315B8"/>
    <w:rsid w:val="00A35D71"/>
    <w:rsid w:val="00A42DE0"/>
    <w:rsid w:val="00A5151C"/>
    <w:rsid w:val="00A56465"/>
    <w:rsid w:val="00A67999"/>
    <w:rsid w:val="00A7047B"/>
    <w:rsid w:val="00A829CA"/>
    <w:rsid w:val="00AA085B"/>
    <w:rsid w:val="00AA7055"/>
    <w:rsid w:val="00AB1AA5"/>
    <w:rsid w:val="00AB3299"/>
    <w:rsid w:val="00AB59D8"/>
    <w:rsid w:val="00AC7DD1"/>
    <w:rsid w:val="00AE09E0"/>
    <w:rsid w:val="00AF787E"/>
    <w:rsid w:val="00B01E76"/>
    <w:rsid w:val="00B05FB7"/>
    <w:rsid w:val="00B11FE7"/>
    <w:rsid w:val="00B15E39"/>
    <w:rsid w:val="00B26C75"/>
    <w:rsid w:val="00B27E40"/>
    <w:rsid w:val="00B36C5E"/>
    <w:rsid w:val="00B4558E"/>
    <w:rsid w:val="00B503C2"/>
    <w:rsid w:val="00BB0469"/>
    <w:rsid w:val="00BD7DFA"/>
    <w:rsid w:val="00C03633"/>
    <w:rsid w:val="00C112BF"/>
    <w:rsid w:val="00C46AE4"/>
    <w:rsid w:val="00C51536"/>
    <w:rsid w:val="00C53DA7"/>
    <w:rsid w:val="00C55E9C"/>
    <w:rsid w:val="00C648DD"/>
    <w:rsid w:val="00C83894"/>
    <w:rsid w:val="00C95CE7"/>
    <w:rsid w:val="00C962C6"/>
    <w:rsid w:val="00CA3DD9"/>
    <w:rsid w:val="00CB65B8"/>
    <w:rsid w:val="00CD4CEA"/>
    <w:rsid w:val="00D002B6"/>
    <w:rsid w:val="00D0540B"/>
    <w:rsid w:val="00D30FDC"/>
    <w:rsid w:val="00D3197B"/>
    <w:rsid w:val="00D40689"/>
    <w:rsid w:val="00D45D79"/>
    <w:rsid w:val="00D50180"/>
    <w:rsid w:val="00D53D60"/>
    <w:rsid w:val="00D55BFE"/>
    <w:rsid w:val="00D57388"/>
    <w:rsid w:val="00D5771B"/>
    <w:rsid w:val="00D946FB"/>
    <w:rsid w:val="00DA5A05"/>
    <w:rsid w:val="00DC0141"/>
    <w:rsid w:val="00DD25F6"/>
    <w:rsid w:val="00DD65B1"/>
    <w:rsid w:val="00DE3C31"/>
    <w:rsid w:val="00DF4125"/>
    <w:rsid w:val="00DF6434"/>
    <w:rsid w:val="00E119FA"/>
    <w:rsid w:val="00E1647F"/>
    <w:rsid w:val="00EA2C21"/>
    <w:rsid w:val="00EC35C9"/>
    <w:rsid w:val="00EF33CD"/>
    <w:rsid w:val="00F01382"/>
    <w:rsid w:val="00F03BE3"/>
    <w:rsid w:val="00F30E27"/>
    <w:rsid w:val="00F52E11"/>
    <w:rsid w:val="00F649AC"/>
    <w:rsid w:val="00F7019D"/>
    <w:rsid w:val="00F81BA9"/>
    <w:rsid w:val="00F85BE2"/>
    <w:rsid w:val="00F95602"/>
    <w:rsid w:val="00F9700A"/>
    <w:rsid w:val="00FB0037"/>
    <w:rsid w:val="00FD2EBE"/>
    <w:rsid w:val="00FE050F"/>
    <w:rsid w:val="00FE073C"/>
    <w:rsid w:val="00FE749C"/>
    <w:rsid w:val="00FF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91B6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2571B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408</Words>
  <Characters>2329</Characters>
  <Application>Microsoft Macintosh Word</Application>
  <DocSecurity>0</DocSecurity>
  <Lines>19</Lines>
  <Paragraphs>5</Paragraphs>
  <ScaleCrop>false</ScaleCrop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2023-01-19T11:10:00Z</dcterms:created>
  <dcterms:modified xsi:type="dcterms:W3CDTF">2023-01-19T11:11:00Z</dcterms:modified>
</cp:coreProperties>
</file>